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1"/>
        <w:tabOrder w:val="0"/>
        <w:jc w:val="left"/>
        <w:tblInd w:w="-74" w:type="dxa"/>
        <w:tblW w:w="10071" w:type="dxa"/>
      </w:tblPr>
      <w:tblGrid>
        <w:gridCol w:w="2163"/>
        <w:gridCol w:w="239"/>
        <w:gridCol w:w="7669"/>
      </w:tblGrid>
      <w:tr>
        <w:trPr>
          <w:trHeight w:val="9156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rPr>
                <w:rFonts w:ascii="Arial" w:hAnsi="Arial" w:cs="Arial"/>
                <w:b/>
                <w:bCs/>
                <w:lang w:eastAsia="hi-in"/>
              </w:rPr>
            </w:pPr>
            <w:r>
              <w:rPr>
                <w:rFonts w:ascii="Arial" w:hAnsi="Arial" w:cs="Arial"/>
                <w:b/>
                <w:bCs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lang w:eastAsia="hi-in"/>
              </w:rPr>
            </w:pPr>
            <w:r>
              <w:rPr>
                <w:rFonts w:ascii="Arial" w:hAnsi="Arial" w:cs="Arial"/>
                <w:b/>
                <w:bCs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NAZIV KORISNIKA: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DJELOKRUG RADA: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i-in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</w:tc>
        <w:tc>
          <w:tcPr>
            <w:tcW w:w="766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ind w:left="156"/>
              <w:spacing/>
              <w:jc w:val="both"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  <w:t>STRUČNA SLUŽBA ZA POSLOVE SKUPŠTINE I OPĆE POSLOVE</w:t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  <w:t xml:space="preserve">Stručna služba za poslove Skupštine i opće poslove obavlja stručne, pravne, savjetodavne i administrativno – tehničke poslove koji se odnose na: pripremu i organizaciju rada Županijske skupštine </w:t>
            </w:r>
            <w:r>
              <w:rPr>
                <w:rFonts w:ascii="Arial" w:hAnsi="Arial" w:cs="Arial"/>
                <w:sz w:val="20"/>
                <w:szCs w:val="20"/>
                <w:lang w:eastAsia="hi-in"/>
              </w:rPr>
              <w:t>i njenih radnih tijela, pripremu i izradu nacrta općih i drugih akata koje donosi župan, Županijska skupština i njena radna tijela, pravna i druga stručna mišljenja u vezi s radom Županijske skupštine i njenih radnih tijela, normativnu obradu akata koje upravna tijela Županije predlažu na donošenje Županijskoj skupštini, stručne i administrativne poslove za potrebe predsjednika, potpredsjednika i vijećnika Županijske skupštine te njenih radnih tijela, poslove vezane za razvoj civilnog društva, ljudska prava, ravnopravnost spolova i građanske inicijative, pravne poslove i davanje pravnih savjeta i mišljenja za potrebe upravnih tijela Županije i jedinica lokalne samouprave, stručne i administrativne poslove za vijeća i predstavnike nacionalnih manjina, pravne,</w:t>
            </w:r>
            <w:r>
              <w:rPr>
                <w:rFonts w:ascii="Arial" w:hAnsi="Arial" w:cs="Arial"/>
                <w:sz w:val="20"/>
                <w:szCs w:val="20"/>
                <w:lang w:eastAsia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/>
              </w:rPr>
              <w:t>stručne i administrativne poslove vezane uz sudske sporove, rješava u upravnim stvarima u prvom stupnju sukladno posebnim propisima i drugo.</w:t>
            </w:r>
            <w:r>
              <w:rPr>
                <w:rFonts w:ascii="Arial" w:hAnsi="Arial" w:cs="Arial"/>
                <w:sz w:val="20"/>
                <w:szCs w:val="20"/>
                <w:lang w:eastAsia="hi-in"/>
              </w:rPr>
              <w:t xml:space="preserve"> </w:t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</w:t>
      </w:r>
      <w:r>
        <w:rPr>
          <w:b/>
        </w:rPr>
        <w:t xml:space="preserve"> </w:t>
      </w:r>
      <w:r>
        <w:rPr>
          <w:b/>
        </w:rPr>
        <w:t>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2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ŽUPANIJSKA SKUPŠTINA I RADNA TIJELA SKUPŠTINE I ŽUPANA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 programa je osiguranje organizacijskih, materijalnih, tehničkih i drugih uvjeta za rad Županijske skupštine, predsjednika, potpredsjednika i ostalih članova Županijske skupštine, te radnih tijela koje imenuje Županijska skupština i radnih tijela koje imenuje župan.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Statutom Sisačko-moslavačke županije i Poslovnikom Županijske skupštine Sisačko-moslavačke županije propisani su okviri i način rada tijela Sisačko-moslavačke županije.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Proračunu Sisačko-moslavačke županije za 2019. godinu za rad Županijske skupštine, predsjednika, potpredsjednika i ostalih članova Županijske skupštine, te radnih tijela koje imenuje Županijska skupština i radnih tijela koje imenuje župan planirana su sredstva </w:t>
            </w:r>
            <w:r>
              <w:rPr>
                <w:rFonts w:ascii="Arial" w:hAnsi="Arial" w:cs="Arial"/>
              </w:rPr>
              <w:t>u iznosu od 1.100.000,00 kuna. Sukladno Odluci o naknadi vijećnicima Županijske skupštine i radnim tijelima Županijske skupštine i Odluci o naknadi članovima radnih tijela koje imenuje župan, u razdoblju od 1. siječnja do 31. prosinca 2019. godine isplaćena su sredstva u iznosu od 961.912,09 kuna.</w:t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Uspješno obavljanje posla iz djelokruga Županijske skupštine, radnih tijela koje imenuje Županijska skupština i radnih tijela koje imenuje župan.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spacing/>
        <w:jc w:val="center"/>
        <w:rPr>
          <w:b/>
        </w:rPr>
      </w:pPr>
      <w:r>
        <w:rPr>
          <w:b/>
        </w:rPr>
        <w:t>STRUČNE SLUŽBE ZA</w:t>
      </w:r>
      <w:r>
        <w:rPr>
          <w:b/>
        </w:rPr>
        <w:t xml:space="preserve"> </w:t>
      </w:r>
      <w:r>
        <w:rPr>
          <w:b/>
        </w:rPr>
        <w:t>POSLOVE SKUPŠTINE I OPĆE POSLOVE</w:t>
      </w:r>
    </w:p>
    <w:p>
      <w:pPr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spacing/>
        <w:jc w:val="center"/>
        <w:widowControl/>
        <w:rPr>
          <w:rFonts w:ascii="Arial" w:hAnsi="Arial" w:eastAsia="Times New Roman" w:cs="Arial"/>
          <w:b/>
          <w:kern w:val="0"/>
          <w:sz w:val="18"/>
          <w:szCs w:val="18"/>
          <w:lang w:eastAsia="hr-hr" w:bidi="ar-sa"/>
        </w:rPr>
      </w:pPr>
      <w:r>
        <w:rPr>
          <w:rFonts w:ascii="Arial" w:hAnsi="Arial" w:eastAsia="Times New Roman" w:cs="Arial"/>
          <w:b/>
          <w:kern w:val="0"/>
          <w:sz w:val="18"/>
          <w:szCs w:val="18"/>
          <w:lang w:eastAsia="hr-hr" w:bidi="ar-sa"/>
        </w:rPr>
      </w:r>
    </w:p>
    <w:p>
      <w:pPr>
        <w:spacing/>
        <w:jc w:val="center"/>
        <w:widowControl/>
        <w:rPr>
          <w:rFonts w:eastAsia="Times New Roman" w:cs="Times New Roman"/>
          <w:b/>
          <w:kern w:val="0"/>
          <w:lang w:eastAsia="hr-hr" w:bidi="ar-sa"/>
        </w:rPr>
      </w:pPr>
      <w:r>
        <w:rPr>
          <w:rFonts w:eastAsia="Times New Roman" w:cs="Times New Roman"/>
          <w:b/>
          <w:kern w:val="0"/>
          <w:lang w:eastAsia="hr-hr" w:bidi="ar-sa"/>
        </w:rPr>
      </w:r>
    </w:p>
    <w:tbl>
      <w:tblPr>
        <w:name w:val="Table3"/>
        <w:tabOrder w:val="0"/>
        <w:jc w:val="left"/>
        <w:tblInd w:w="0" w:type="dxa"/>
        <w:tblW w:w="9480" w:type="dxa"/>
      </w:tblPr>
      <w:tblGrid>
        <w:gridCol w:w="1727"/>
        <w:gridCol w:w="236"/>
        <w:gridCol w:w="7517"/>
      </w:tblGrid>
      <w:tr>
        <w:trPr>
          <w:trHeight w:val="9156" w:hRule="atLeast"/>
        </w:trPr>
        <w:tc>
          <w:tcPr>
            <w:tcW w:w="17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12" w:space="0" w:color="000000" tmln="30, 20, 20, 0"/>
              <w:left w:val="single" w:sz="12" w:space="0" w:color="000000" tmln="30, 20, 20, 0"/>
              <w:bottom w:val="single" w:sz="12" w:space="0" w:color="000000" tmln="3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NAZIV PROG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CILJ PROGRA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OPIS PROGRA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OBRAZLOŽENJE IZVRŠENJA PROGRAMA KROZ CILJEVE KOJI SU OS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TVARENI PR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O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VEDBOM PRO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G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POKAZATELJI USPJEŠNOSTI IZVRŠENJA CILJEVA PROG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12" w:space="0" w:color="000000" tmln="30, 20, 20, 0"/>
              <w:bottom w:val="nil" w:sz="0" w:space="0" w:color="000000" tmln="2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widowControl/>
              <w:rPr>
                <w:rFonts w:ascii="Arial" w:hAnsi="Arial" w:eastAsia="Times New Roman" w:cs="Arial"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kern w:val="0"/>
                <w:lang w:eastAsia="hr-hr" w:bidi="ar-sa"/>
              </w:rPr>
            </w:r>
          </w:p>
        </w:tc>
        <w:tc>
          <w:tcPr>
            <w:tcW w:w="75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12" w:space="0" w:color="000000" tmln="30, 20, 20, 0"/>
              <w:left w:val="single" w:sz="12" w:space="0" w:color="000000" tmln="30, 20, 20, 0"/>
              <w:bottom w:val="single" w:sz="12" w:space="0" w:color="000000" tmln="3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ŽUPANIJSKA VIJEĆA I PREDSTAVNICI NACIONALNIH MANJINA</w:t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Sufinanciranje rada Vijeća i predstavnika nacionalnih manjina radi osiguranja stručne, administrativne i tehničke pomoći u </w:t>
            </w:r>
            <w:r>
              <w:rPr>
                <w:rFonts w:ascii="Arial" w:hAnsi="Arial" w:cs="Arial"/>
              </w:rPr>
              <w:t>njihovom radu u cilju ostvarivanja prava utvrđenih Ustavnim zakonom o pravima nacionalnih manjina.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Temeljem Ustavnog zakona o pravima nacionalnih manjina u Sisačko-moslavačkoj županiji je do izbora za vijeća i predstavnike nacionalnih manjina, održanih </w:t>
            </w:r>
            <w:r>
              <w:rPr>
                <w:rFonts w:ascii="Arial" w:hAnsi="Arial" w:cs="Arial"/>
              </w:rPr>
              <w:t>5. svibnja 2019. godine, djelovalo 5 vijeća i 4 predstavnika nacionalnih manjina.</w:t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Nakon provedenih izbora i dalje djeluje 5 vijeća nacionalnih manjina i to: albanske, bošnjačke, češke, romske i srpske nacionalne manjine, te 5 predstavnika nacionalne manjine i to: mađarske, makedonske, slovačke, talijanske i ukrajinske manjine.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Proračunu Sisačko-moslavačke županije za 2019. godinu za rad vijeća i predstavnika nacionalnih manjina planirana su sredstva u iznosu od 682.000,00 kuna.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Izmjenama i dopunama Proračuna za 2019. godinu ukupni iznos predviđenih sredstava nije se mijenjao.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razdoblju od 1. siječnja 2019. godine do 31. prosinca 2019. godine  </w:t>
            </w:r>
            <w:r>
              <w:rPr>
                <w:rFonts w:ascii="Arial" w:hAnsi="Arial" w:cs="Arial"/>
              </w:rPr>
              <w:t>za rad vijeća i predstavnika nacionalnih manjina ukupno je isplaćeno 478.700,00 kuna.</w:t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plaće za zaposlene </w:t>
            </w:r>
            <w:r>
              <w:rPr>
                <w:rFonts w:ascii="Arial" w:hAnsi="Arial" w:cs="Arial"/>
              </w:rPr>
              <w:t>isplaćeno je 32.000,00 kuna, doprinosi na plaće iznosili su 5.300,00 kuna.</w:t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Rashodi za materijal iznosili su 39.100,00 kuna, a rashodi za energiju 18.000,00 kuna. Rashodi za zakupninu/najamninu poslovnog prostora iznosili su 14.600,00 kuna. Rashodi za intelektualne i osobne usluge iznosili su 67.100,00 kuna, a rashodi za ostale usluge 60.700,00 kuna.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naknade za rad članovima vijeća i predstavnika nacionalnih manjina isplaćeno je 185.600,00 kuna.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nespomenuti rashodi poslovanja iznosili su 50.000,00 kuna. Rashodi za bankarske usluge i usluge platnog prometa iznosili su 5.000,00 kuna, a rashodi za uredsku opremu i namještaj 1.300,00 kuna.</w:t>
            </w:r>
          </w:p>
          <w:p>
            <w:pPr>
              <w:spacing/>
              <w:jc w:val="both"/>
              <w:rPr>
                <w:rFonts w:ascii="Arial" w:hAnsi="Arial"/>
                <w:iCs/>
              </w:rPr>
            </w:pPr>
            <w:r>
              <w:rPr>
                <w:rFonts w:ascii="Arial" w:hAnsi="Arial"/>
              </w:rPr>
              <w:t xml:space="preserve">Naknade vijećnicima i predstavnicima nisu isplaćivane u periodu od donošenja </w:t>
            </w:r>
            <w:r>
              <w:rPr>
                <w:rFonts w:ascii="Arial" w:hAnsi="Arial"/>
                <w:bCs/>
                <w:iCs/>
              </w:rPr>
              <w:t>Odluke o raspisivanju izbora za čla</w:t>
            </w:r>
            <w:r>
              <w:rPr>
                <w:rFonts w:ascii="Arial" w:hAnsi="Arial"/>
                <w:bCs/>
                <w:iCs/>
              </w:rPr>
              <w:t>nove vijeća nacionalnih manjina u jedinicama lokalne i područne (regionalne) samouprave do trenutka konstituiranja</w:t>
            </w:r>
            <w:r>
              <w:rPr>
                <w:rFonts w:ascii="Arial" w:hAnsi="Arial"/>
                <w:bCs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 xml:space="preserve">novih saziva vijeća. </w:t>
            </w:r>
            <w:r>
              <w:rPr>
                <w:rFonts w:ascii="Arial" w:hAnsi="Arial"/>
                <w:iCs/>
              </w:rPr>
              <w:t xml:space="preserve">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Sredstva su se isplaćivala tromjesečno prema dostavljenoj dokumentaciji o utrošenim sredstvima.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Vijeća i predstavnici nacionalnih manjina provodili su svoje aktivnosti na razini županije sukladno Ustavnom zakonu o pravima nacionalnih manjina.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Uspješno djelovanje i realizacija programa vijeća i predstavnika nacionalnih manjina s područja Sisačko-moslavačke županije.</w:t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</w:tc>
      </w:tr>
    </w:tbl>
    <w:p>
      <w:r/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4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POLITIČKE STRANKE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Redovito financiranje političkih stranaka koje imaju vijećnike u Županijskoj skupštini Sisačko-moslavačke županije u </w:t>
            </w:r>
            <w:r>
              <w:rPr>
                <w:rFonts w:ascii="Arial" w:hAnsi="Arial" w:cs="Arial"/>
              </w:rPr>
              <w:t>2019. godini sukladno članku 7. stavku 2. Zakona o financiranju političkih aktivnosti i izborne promidžbe ("Narodne novine", broj 24/11, 61/11, 27/13, 2/14, 96/16 i 70/17) temeljem kojeg je donijeta Odluka o raspoređivanju sredstava za redovito financiranje političkih stranaka koje imaju vijećnike u Županijskoj skupštini Sisačko-moslavačke županije za 2019. godinu („Službeni glasnik Sisačko-moslavačke županije“, broj 34/18).</w:t>
            </w:r>
            <w:r>
              <w:rPr>
                <w:rFonts w:ascii="Arial" w:hAnsi="Arial" w:cs="Arial"/>
              </w:rPr>
              <w:t xml:space="preserve"> 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Proračunu Sisačko-moslavačke županije za 2019. godinu za redovito financiranje političkih stranaka koje imaju vijećnike u Županijskoj skupštini Sisačko-moslavačke županije planirana su sredstva u iznosu od 300.000,00 kuna.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razdoblju od 1. siječnja 2019. do 31. prosinca 2019. godine isplaćena su sredstva u ukupnom iznosu od 299.800,67 kuna za rad 17 političkih stranaka koje imaju vijećnike u Županijskoj skupštini Sisačko-moslavačke županije. 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Ispunjena zakonska obveza utvrđena Zakonom o financiranju političkih aktivnosti i izborne promidžbe i sukladno tome osigurana sredstva u Proračunu Sisačko-moslavačke županije.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tbl>
      <w:tblPr>
        <w:name w:val="Table5"/>
        <w:tabOrder w:val="0"/>
        <w:jc w:val="left"/>
        <w:tblInd w:w="0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widowControl/>
              <w:rPr>
                <w:b/>
                <w:sz w:val="22"/>
                <w:lang w:eastAsia="ar-sa" w:bidi="ar-sa"/>
              </w:rPr>
            </w:pPr>
            <w:r>
              <w:rPr>
                <w:b/>
                <w:sz w:val="22"/>
                <w:lang w:eastAsia="ar-sa" w:bidi="ar-sa"/>
              </w:rPr>
              <w:t>IZBORI U JEDINICAMA LOKALNE I PODRUČNE (REGIONALNE) SA</w:t>
            </w:r>
            <w:r>
              <w:rPr>
                <w:b/>
                <w:sz w:val="22"/>
                <w:lang w:eastAsia="ar-sa" w:bidi="ar-sa"/>
              </w:rPr>
              <w:t>MOUPRAVE</w:t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  </w:t>
            </w: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 </w:t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</w:r>
          </w:p>
          <w:p>
            <w:pPr>
              <w:spacing/>
              <w:jc w:val="both"/>
              <w:widowControl/>
              <w:rPr>
                <w:sz w:val="22"/>
                <w:lang w:eastAsia="ar-sa" w:bidi="ar-sa"/>
              </w:rPr>
            </w:pPr>
            <w:r>
              <w:rPr>
                <w:sz w:val="22"/>
                <w:lang w:eastAsia="ar-sa" w:bidi="ar-sa"/>
              </w:rPr>
              <w:t>Osiguranje sredstava za provedbu izbora za članove vijeća i predstavnike nacional</w:t>
            </w:r>
            <w:r>
              <w:rPr>
                <w:sz w:val="22"/>
                <w:lang w:eastAsia="ar-sa" w:bidi="ar-sa"/>
              </w:rPr>
              <w:t>nih manjina u Sisačko-moslavačkoj županiji.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  <w:sz w:val="22"/>
                <w:szCs w:val="22"/>
                <w:lang w:eastAsia="hi-in"/>
              </w:rPr>
            </w:pPr>
            <w:r>
              <w:rPr>
                <w:rFonts w:cs="Times New Roman"/>
                <w:sz w:val="22"/>
                <w:szCs w:val="22"/>
                <w:lang w:eastAsia="hi-in"/>
              </w:rPr>
              <w:t xml:space="preserve">Provedba </w:t>
            </w:r>
            <w:r>
              <w:rPr>
                <w:rFonts w:cs="Times New Roman"/>
                <w:sz w:val="22"/>
                <w:szCs w:val="22"/>
                <w:lang w:eastAsia="hi-in"/>
              </w:rPr>
              <w:t>zakonskih i podzakonskih propisa.</w:t>
            </w:r>
          </w:p>
          <w:p>
            <w:pPr>
              <w:pStyle w:val="para11"/>
              <w:ind w:left="0"/>
              <w:spacing/>
              <w:jc w:val="both"/>
              <w:rPr>
                <w:sz w:val="22"/>
                <w:lang w:eastAsia="hi-in"/>
              </w:rPr>
            </w:pPr>
            <w:r>
              <w:rPr>
                <w:sz w:val="22"/>
                <w:lang w:eastAsia="ar-sa" w:bidi="ar-sa"/>
              </w:rPr>
              <w:t xml:space="preserve">Ustavni zakon o pravima nacionalnih manjina („Narodne novine“, broj </w:t>
            </w:r>
            <w:r>
              <w:rPr>
                <w:sz w:val="22"/>
                <w:lang w:eastAsia="hi-in"/>
              </w:rPr>
              <w:t>155/02, 47/10, 80/10 i 93/11)</w:t>
            </w:r>
          </w:p>
          <w:p>
            <w:pPr>
              <w:pStyle w:val="para11"/>
              <w:ind w:left="0"/>
              <w:spacing/>
              <w:jc w:val="both"/>
              <w:rPr>
                <w:sz w:val="22"/>
                <w:lang w:eastAsia="ar-sa" w:bidi="ar-sa"/>
              </w:rPr>
            </w:pPr>
            <w:r>
              <w:rPr>
                <w:sz w:val="22"/>
                <w:lang w:eastAsia="ar-sa" w:bidi="ar-sa"/>
              </w:rPr>
              <w:t>Zakon o lokalnim izborima ("Narodne novine", broj 144/12 i 121/16).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widowControl/>
              <w:rPr>
                <w:rFonts w:cs="Times New Roman"/>
                <w:sz w:val="22"/>
                <w:szCs w:val="22"/>
                <w:lang w:eastAsia="hi-in"/>
              </w:rPr>
            </w:pPr>
            <w:r>
              <w:rPr>
                <w:rFonts w:cs="Times New Roman"/>
                <w:sz w:val="22"/>
                <w:szCs w:val="22"/>
                <w:lang w:eastAsia="hi-in"/>
              </w:rPr>
            </w:r>
          </w:p>
          <w:p>
            <w:pPr>
              <w:spacing/>
              <w:jc w:val="both"/>
              <w:widowControl/>
              <w:rPr>
                <w:sz w:val="22"/>
                <w:lang w:eastAsia="ar-sa" w:bidi="ar-sa"/>
              </w:rPr>
            </w:pPr>
            <w:r>
              <w:rPr>
                <w:sz w:val="22"/>
                <w:lang w:eastAsia="ar-sa" w:bidi="ar-sa"/>
              </w:rPr>
              <w:t>U Proračunu Sisačko-moslavačke županije za 2019. godinu za provedbu izbora za članove vijeća i predstavnike nacionalnih manjina planirana su sredstva u iznosu od 616.000,00 kuna od čega 520.000,00 kuna za troškove provedbe izbora i 96.000,00 kuna za naknadu troškova izborne promidžbe.</w:t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 xml:space="preserve"> </w:t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>U razdoblju od 1. siječnja 2019. do 31. prosinca 2019. godine za provedbu izbora ukupno je isplaćeno 517.507,64 kune, a za troškove izborne promidžbe isplaćeno je 94.750,00 kuna.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sz w:val="22"/>
                <w:szCs w:val="22"/>
                <w:lang w:eastAsia="ar-sa" w:bidi="ar-sa"/>
              </w:rPr>
            </w:pPr>
            <w:r>
              <w:rPr>
                <w:rFonts w:eastAsia="Times New Roman" w:cs="Times New Roman"/>
                <w:sz w:val="22"/>
                <w:szCs w:val="22"/>
                <w:lang w:eastAsia="ar-sa" w:bidi="ar-sa"/>
              </w:rPr>
              <w:t>Ispunjavanje zakonske obveze.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</w:t>
      </w:r>
      <w:r>
        <w:rPr>
          <w:b/>
        </w:rPr>
        <w:t xml:space="preserve"> </w:t>
      </w:r>
      <w:r>
        <w:rPr>
          <w:b/>
        </w:rPr>
        <w:t>RAZDOBLJE 1. SIJEČNJA – 31. PROSINCA 2019</w:t>
      </w:r>
      <w:r>
        <w:br w:type="page"/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continuous"/>
          <w:pgSz w:h="16838" w:w="11906"/>
          <w:pgMar w:left="1134" w:top="1134" w:right="1134" w:bottom="1134"/>
          <w:paperSrc w:first="0" w:other="0"/>
          <w:pgNumType w:fmt="decimal"/>
          <w:tmGutter w:val="1"/>
          <w:mirrorMargins w:val="0"/>
          <w:tmSection w:h="-1"/>
        </w:sectPr>
      </w:pP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6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8513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OBRAZLOŽENJE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SURADNJA S JEDINICAMA LOKALNE I REGIONALNE SAMOUPRAVE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Institucionalna suradnja Sisačko-moslavačke županije s drugim jedinicama lokalne i područne (regionalne) samouprave u Republici Hrvatskoj.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Kroz udruge lokalne i područne (regionalne) samouprave više razine ostvaruje se uspješna suradnja Sisačko-moslavačke županije s drugim jedinicama lokalne i područne (regionalne) </w:t>
            </w:r>
            <w:r>
              <w:rPr>
                <w:rFonts w:ascii="Arial" w:hAnsi="Arial" w:cs="Arial"/>
              </w:rPr>
              <w:t>samouprave u Republici Hrvatskoj unutar samoupravnog djelokruga županije. U Proračunu Sisačko-moslavačke županije za 2019. godinu osigurana su sredstva u ukupnom iznosu od 102.500,00 kuna.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razdoblju od 1.1.2019. godine do 31.12.2019. godine za članstvo u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Hrvatskoj zajednici županiji ukupno je isplaćeno 100.576,02 kuna.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Uspješno djelovanje Sisačko-moslavačke županije u udrugama  </w:t>
            </w:r>
            <w:r>
              <w:rPr>
                <w:rFonts w:ascii="Arial" w:hAnsi="Arial" w:cs="Arial"/>
              </w:rPr>
              <w:t>lokalne i područne (regionalne) samouprave u Republici Hrvatskoj te uspostavljeni partnerski odnosi u realizaciji programa i projekata iz samoupravnog djelokruga županije.</w:t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38" w:w="11906"/>
          <w:pgMar w:left="1134" w:top="1134" w:right="1134" w:bottom="1134"/>
          <w:paperSrc w:first="0" w:other="0"/>
          <w:pgNumType w:fmt="decimal"/>
          <w:tmGutter w:val="1"/>
          <w:mirrorMargins w:val="0"/>
          <w:tmSection w:h="-1"/>
        </w:sectPr>
      </w:pP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STRUČNE SLUŽBE ZA POSLOVE SKUPŠTINE I OPĆE POSLOVE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7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9789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70728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HUMANITARNE ZAKLADE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Financiranje rada Zaklada kojima je zakladnik Sisačko-moslavačka županija.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Proračunu </w:t>
            </w:r>
            <w:r>
              <w:rPr>
                <w:rFonts w:ascii="Arial" w:hAnsi="Arial" w:cs="Arial"/>
              </w:rPr>
              <w:t>Sisačko-moslavačke županije za 2019. godinu planirana su sredstva u iznosu od 200.000,00 kuna za redovni rad humanitarnih zaklada.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razdoblju od 1. siječnja 2019. godine do 31. prosinca 2019. godine ukupno je isplaćeno 200.000,00 kuna i to za rad Zaklade Iskra za nadarenu djecu Sisačko-moslavačke županije isplaćen je iznos od 100.000,00 kuna a za rad Zaklade "Viktorija" za djecu oboljelu od zloćudnih i drugih teških bolesti s područja Sisačko-moslavačke županije isplaćen je također iznos od 100.000,00 kuna.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Uspješno financijsko-materijalno poslovanje Zaklada i ispunjavanje ciljeva u radu zakladnih tijela.</w:t>
            </w:r>
          </w:p>
        </w:tc>
      </w:tr>
    </w:tbl>
    <w:p>
      <w:pPr>
        <w:pStyle w:val="para4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134" w:top="1134" w:right="1134" w:bottom="1134"/>
      <w:paperSrc w:first="0" w:other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Tahoma">
    <w:panose1 w:val="020B0604030504040204"/>
    <w:charset w:val="ee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20603050405020304"/>
    <w:charset w:val="00"/>
    <w:family w:val="roman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9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  <w:doNotExpandShiftReturn w:val="1"/>
  </w:compat>
  <w:shapeDefaults>
    <o:shapedefaults v:ext="edit" spidmax="1026"/>
    <o:shapelayout v:ext="edit">
      <o:rules v:ext="edit"/>
    </o:shapelayout>
  </w:shapeDefaults>
  <w:tmPrefOne w:val="0"/>
  <w:tmPrefTwo w:val="1"/>
  <w:tmFmtPref w:val="112841332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02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87707280" w:val="927" w:fileVer="341" w:fileVer64="64" w:fileVerOS="4"/>
  <w:guidesAndGrid showGuides="1" lockGuides="0" snapToGuides="1" snapToPageMargins="0" snapToOtherObjects="1" tolerance="8" gridDistanceHorizontal="283" gridDistanceVertical="283" showGrid="0" snapToGrid="0" numberOfMasterpages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ahoma"/>
        <w:kern w:val="1"/>
        <w:sz w:val="24"/>
        <w:szCs w:val="24"/>
        <w:position w:val="0"/>
        <w:lang w:val="hr-h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widowControl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Standard"/>
    <w:qFormat/>
    <w:basedOn w:val="para0"/>
    <w:pPr>
      <w:suppressAutoHyphens/>
      <w:hyphenationLines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5" w:customStyle="1">
    <w:name w:val="Naslov"/>
    <w:qFormat/>
    <w:basedOn w:val="para4"/>
    <w:next w:val="para6"/>
    <w:pPr>
      <w:spacing w:before="240" w:after="120"/>
      <w:keepNext/>
    </w:pPr>
    <w:rPr>
      <w:rFonts w:ascii="Arial" w:hAnsi="Arial" w:eastAsia="Lucida Sans Unicode"/>
      <w:sz w:val="28"/>
      <w:szCs w:val="28"/>
    </w:rPr>
  </w:style>
  <w:style w:type="paragraph" w:styleId="para6" w:customStyle="1">
    <w:name w:val="Text body"/>
    <w:qFormat/>
    <w:basedOn w:val="para4"/>
    <w:pPr>
      <w:spacing w:after="120"/>
    </w:pPr>
  </w:style>
  <w:style w:type="paragraph" w:styleId="para7" w:customStyle="1">
    <w:name w:val="Podnaslov"/>
    <w:qFormat/>
    <w:basedOn w:val="para5"/>
    <w:next w:val="para6"/>
    <w:pPr>
      <w:spacing/>
      <w:jc w:val="center"/>
    </w:pPr>
    <w:rPr>
      <w:i/>
      <w:iCs/>
    </w:rPr>
  </w:style>
  <w:style w:type="paragraph" w:styleId="para8" w:customStyle="1">
    <w:name w:val="Popis"/>
    <w:qFormat/>
    <w:basedOn w:val="para6"/>
  </w:style>
  <w:style w:type="paragraph" w:styleId="para9" w:customStyle="1">
    <w:name w:val="Opis slike"/>
    <w:qFormat/>
    <w:basedOn w:val="para4"/>
    <w:pPr>
      <w:spacing w:before="120" w:after="120"/>
    </w:pPr>
    <w:rPr>
      <w:i/>
      <w:iCs/>
    </w:rPr>
  </w:style>
  <w:style w:type="paragraph" w:styleId="para10" w:customStyle="1">
    <w:name w:val="Index"/>
    <w:qFormat/>
    <w:basedOn w:val="para4"/>
  </w:style>
  <w:style w:type="paragraph" w:styleId="para11" w:customStyle="1">
    <w:name w:val="Odlomak popisa"/>
    <w:qFormat/>
    <w:basedOn w:val="para4"/>
    <w:pPr>
      <w:ind w:left="708"/>
    </w:pPr>
  </w:style>
  <w:style w:type="paragraph" w:styleId="para12" w:customStyle="1">
    <w:name w:val="Table Contents"/>
    <w:qFormat/>
    <w:basedOn w:val="para4"/>
  </w:style>
  <w:style w:type="paragraph" w:styleId="para13" w:customStyle="1">
    <w:name w:val="Tekst balončića"/>
    <w:qFormat/>
    <w:basedOn w:val="para0"/>
    <w:rPr>
      <w:rFonts w:ascii="Tahoma" w:hAnsi="Tahoma" w:cs="Mangal"/>
      <w:sz w:val="16"/>
      <w:szCs w:val="14"/>
    </w:rPr>
  </w:style>
  <w:style w:type="character" w:styleId="char0" w:default="1">
    <w:name w:val="Default Paragraph Font"/>
  </w:style>
  <w:style w:type="character" w:styleId="char1" w:customStyle="1">
    <w:name w:val="Zadani font odlomka"/>
  </w:style>
  <w:style w:type="character" w:styleId="char2" w:customStyle="1">
    <w:name w:val="Tekst balončića Char"/>
    <w:basedOn w:val="char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ahoma"/>
        <w:kern w:val="1"/>
        <w:sz w:val="24"/>
        <w:szCs w:val="24"/>
        <w:position w:val="0"/>
        <w:lang w:val="hr-h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widowControl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Standard"/>
    <w:qFormat/>
    <w:basedOn w:val="para0"/>
    <w:pPr>
      <w:suppressAutoHyphens/>
      <w:hyphenationLines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5" w:customStyle="1">
    <w:name w:val="Naslov"/>
    <w:qFormat/>
    <w:basedOn w:val="para4"/>
    <w:next w:val="para6"/>
    <w:pPr>
      <w:spacing w:before="240" w:after="120"/>
      <w:keepNext/>
    </w:pPr>
    <w:rPr>
      <w:rFonts w:ascii="Arial" w:hAnsi="Arial" w:eastAsia="Lucida Sans Unicode"/>
      <w:sz w:val="28"/>
      <w:szCs w:val="28"/>
    </w:rPr>
  </w:style>
  <w:style w:type="paragraph" w:styleId="para6" w:customStyle="1">
    <w:name w:val="Text body"/>
    <w:qFormat/>
    <w:basedOn w:val="para4"/>
    <w:pPr>
      <w:spacing w:after="120"/>
    </w:pPr>
  </w:style>
  <w:style w:type="paragraph" w:styleId="para7" w:customStyle="1">
    <w:name w:val="Podnaslov"/>
    <w:qFormat/>
    <w:basedOn w:val="para5"/>
    <w:next w:val="para6"/>
    <w:pPr>
      <w:spacing/>
      <w:jc w:val="center"/>
    </w:pPr>
    <w:rPr>
      <w:i/>
      <w:iCs/>
    </w:rPr>
  </w:style>
  <w:style w:type="paragraph" w:styleId="para8" w:customStyle="1">
    <w:name w:val="Popis"/>
    <w:qFormat/>
    <w:basedOn w:val="para6"/>
  </w:style>
  <w:style w:type="paragraph" w:styleId="para9" w:customStyle="1">
    <w:name w:val="Opis slike"/>
    <w:qFormat/>
    <w:basedOn w:val="para4"/>
    <w:pPr>
      <w:spacing w:before="120" w:after="120"/>
    </w:pPr>
    <w:rPr>
      <w:i/>
      <w:iCs/>
    </w:rPr>
  </w:style>
  <w:style w:type="paragraph" w:styleId="para10" w:customStyle="1">
    <w:name w:val="Index"/>
    <w:qFormat/>
    <w:basedOn w:val="para4"/>
  </w:style>
  <w:style w:type="paragraph" w:styleId="para11" w:customStyle="1">
    <w:name w:val="Odlomak popisa"/>
    <w:qFormat/>
    <w:basedOn w:val="para4"/>
    <w:pPr>
      <w:ind w:left="708"/>
    </w:pPr>
  </w:style>
  <w:style w:type="paragraph" w:styleId="para12" w:customStyle="1">
    <w:name w:val="Table Contents"/>
    <w:qFormat/>
    <w:basedOn w:val="para4"/>
  </w:style>
  <w:style w:type="paragraph" w:styleId="para13" w:customStyle="1">
    <w:name w:val="Tekst balončića"/>
    <w:qFormat/>
    <w:basedOn w:val="para0"/>
    <w:rPr>
      <w:rFonts w:ascii="Tahoma" w:hAnsi="Tahoma" w:cs="Mangal"/>
      <w:sz w:val="16"/>
      <w:szCs w:val="14"/>
    </w:rPr>
  </w:style>
  <w:style w:type="character" w:styleId="char0" w:default="1">
    <w:name w:val="Default Paragraph Font"/>
  </w:style>
  <w:style w:type="character" w:styleId="char1" w:customStyle="1">
    <w:name w:val="Zadani font odlomka"/>
  </w:style>
  <w:style w:type="character" w:styleId="char2" w:customStyle="1">
    <w:name w:val="Tekst balončića Char"/>
    <w:basedOn w:val="char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rev.927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</dc:creator>
  <cp:keywords/>
  <dc:description/>
  <cp:lastModifiedBy>Korisnik</cp:lastModifiedBy>
  <cp:revision>4021</cp:revision>
  <dcterms:created xsi:type="dcterms:W3CDTF">2020-04-24T05:22:00Z</dcterms:created>
  <dcterms:modified xsi:type="dcterms:W3CDTF">2020-04-24T05:48:00Z</dcterms:modified>
</cp:coreProperties>
</file>